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w:t>
      </w:r>
      <w:r>
        <w:rPr>
          <w:rFonts w:hint="eastAsia" w:asciiTheme="minorEastAsia" w:hAnsiTheme="minorEastAsia" w:eastAsiaTheme="minorEastAsia" w:cstheme="minorEastAsia"/>
          <w:b/>
          <w:bCs/>
          <w:snapToGrid w:val="0"/>
          <w:color w:val="auto"/>
          <w:sz w:val="28"/>
          <w:szCs w:val="28"/>
          <w:u w:val="single"/>
        </w:rPr>
        <w:t>傍海（番南）站配套220千伏线路工程（第一分册） 电缆隧道部分全过程工程咨询服务</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 xml:space="preserve">广供电基〔2025〕13号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keepNext w:val="0"/>
              <w:keepLines w:val="0"/>
              <w:widowControl/>
              <w:suppressLineNumbers w:val="0"/>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穗发改核准〔</w:t>
            </w: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2025〕8号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广供电规〔2025〕26号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 海珠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合同签订之日起至2027年12月30日，实际工期以开工报告、竣工报告为准。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lang w:eastAsia="zh-CN"/>
        </w:rPr>
      </w:pPr>
      <w:r>
        <w:rPr>
          <w:rFonts w:hint="eastAsia" w:asciiTheme="minorEastAsia" w:hAnsiTheme="minorEastAsia" w:eastAsiaTheme="minorEastAsia" w:cstheme="minorEastAsia"/>
          <w:b/>
          <w:sz w:val="24"/>
          <w:szCs w:val="24"/>
          <w:highlight w:val="none"/>
        </w:rPr>
        <w:t>※电缆</w:t>
      </w:r>
      <w:r>
        <w:rPr>
          <w:rFonts w:hint="eastAsia" w:asciiTheme="minorEastAsia" w:hAnsiTheme="minorEastAsia" w:eastAsiaTheme="minorEastAsia" w:cstheme="minorEastAsia"/>
          <w:b/>
          <w:sz w:val="24"/>
          <w:szCs w:val="24"/>
          <w:highlight w:val="none"/>
          <w:lang w:eastAsia="zh-CN"/>
        </w:rPr>
        <w:t>隧道工程</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新建隧道起点位于黄埔涌大桥延长线南侧科韵南路与黄浦涌交叉处西南（工程工作井 1），之后隧道沿黄浦涌向东，下穿黄浦涌大桥、海珠湿地和北山新涌接入既有棠琶工作井 5。隧道线路单延米全长约680m（含工作井 1 和明挖段），共设 1 处工作井(17m x16m)，其南侧采用明挖段隧道衔接电力线路。包括隧道线路、建筑、结构、通风、给排水、消防、视频监控和配电等专业。</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项目全过程咨询项目管理包括电缆隧道工程的项目策划管理、报建报批、勘察管理、设计管理、合同管理、投资管理、招标采购管理、施工组织管理、参建单位管理、验收管理以及质量、计划、安全、信息、沟通、风险等管理与协调工作、智慧工程（智慧工地建设）、BIM技术应用、工程评先和其他专项咨询。</w:t>
      </w:r>
    </w:p>
    <w:p>
      <w:pPr>
        <w:pStyle w:val="2"/>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全过程监理咨询服务包括电缆隧道工程勘察设计、施工准备（含三通一平）、施工（含通信）、竣工结算、缺陷责任期、电子化移交的全过程监理，以及初步设计概算（或施工图预算）中监理计费范围以外但与工程相关的监理工作。按照建设单位要求使用工程信息管理系统。</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shd w:val="clear" w:color="auto" w:fill="auto"/>
            <w:noWrap w:val="0"/>
            <w:vAlign w:val="center"/>
          </w:tcPr>
          <w:p>
            <w:pPr>
              <w:jc w:val="center"/>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w:t>
            </w:r>
          </w:p>
        </w:tc>
        <w:tc>
          <w:tcPr>
            <w:tcW w:w="2242" w:type="dxa"/>
            <w:tcBorders>
              <w:top w:val="single" w:color="auto" w:sz="4" w:space="0"/>
              <w:bottom w:val="single" w:color="auto" w:sz="4" w:space="0"/>
            </w:tcBorders>
            <w:shd w:val="clear" w:color="auto" w:fill="auto"/>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rPr>
              <w:t>全过程工程项目管理</w:t>
            </w:r>
          </w:p>
        </w:tc>
        <w:tc>
          <w:tcPr>
            <w:tcW w:w="1519" w:type="dxa"/>
            <w:shd w:val="clear" w:color="auto" w:fill="auto"/>
            <w:noWrap w:val="0"/>
            <w:vAlign w:val="center"/>
          </w:tcPr>
          <w:p>
            <w:pPr>
              <w:shd w:val="clear" w:color="auto" w:fill="auto"/>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1251103.20 </w:t>
            </w:r>
          </w:p>
        </w:tc>
        <w:tc>
          <w:tcPr>
            <w:tcW w:w="1033" w:type="dxa"/>
            <w:vMerge w:val="restart"/>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shd w:val="clear" w:color="auto" w:fill="auto"/>
            <w:noWrap w:val="0"/>
            <w:vAlign w:val="center"/>
          </w:tcPr>
          <w:p>
            <w:pPr>
              <w:jc w:val="center"/>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2</w:t>
            </w:r>
          </w:p>
        </w:tc>
        <w:tc>
          <w:tcPr>
            <w:tcW w:w="2242" w:type="dxa"/>
            <w:tcBorders>
              <w:top w:val="single" w:color="auto" w:sz="4" w:space="0"/>
              <w:bottom w:val="single" w:color="auto" w:sz="4" w:space="0"/>
            </w:tcBorders>
            <w:shd w:val="clear" w:color="auto" w:fill="auto"/>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rPr>
              <w:t>全过程工程监理费</w:t>
            </w:r>
          </w:p>
        </w:tc>
        <w:tc>
          <w:tcPr>
            <w:tcW w:w="1519" w:type="dxa"/>
            <w:shd w:val="clear" w:color="auto" w:fill="auto"/>
            <w:noWrap w:val="0"/>
            <w:vAlign w:val="center"/>
          </w:tcPr>
          <w:p>
            <w:pPr>
              <w:shd w:val="clear" w:color="auto" w:fill="auto"/>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1259039.64 </w:t>
            </w:r>
          </w:p>
        </w:tc>
        <w:tc>
          <w:tcPr>
            <w:tcW w:w="1033" w:type="dxa"/>
            <w:vMerge w:val="continue"/>
            <w:tcBorders/>
            <w:noWrap w:val="0"/>
            <w:vAlign w:val="center"/>
          </w:tcPr>
          <w:p>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shd w:val="clear" w:color="auto" w:fill="auto"/>
            <w:noWrap w:val="0"/>
            <w:vAlign w:val="center"/>
          </w:tcPr>
          <w:p>
            <w:pPr>
              <w:jc w:val="center"/>
              <w:rPr>
                <w:rFonts w:hint="default"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3</w:t>
            </w:r>
          </w:p>
        </w:tc>
        <w:tc>
          <w:tcPr>
            <w:tcW w:w="2242" w:type="dxa"/>
            <w:tcBorders>
              <w:top w:val="single" w:color="auto" w:sz="4" w:space="0"/>
              <w:bottom w:val="single" w:color="auto" w:sz="4" w:space="0"/>
            </w:tcBorders>
            <w:shd w:val="clear" w:color="auto" w:fill="auto"/>
            <w:noWrap w:val="0"/>
            <w:vAlign w:val="center"/>
          </w:tcPr>
          <w:p>
            <w:pPr>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合计</w:t>
            </w:r>
          </w:p>
        </w:tc>
        <w:tc>
          <w:tcPr>
            <w:tcW w:w="1519" w:type="dxa"/>
            <w:shd w:val="clear" w:color="auto" w:fill="auto"/>
            <w:noWrap w:val="0"/>
            <w:vAlign w:val="center"/>
          </w:tcPr>
          <w:p>
            <w:pPr>
              <w:shd w:val="clear" w:color="auto" w:fill="auto"/>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2510142.84</w:t>
            </w:r>
          </w:p>
        </w:tc>
        <w:tc>
          <w:tcPr>
            <w:tcW w:w="1033" w:type="dxa"/>
            <w:vMerge w:val="continue"/>
            <w:tcBorders/>
            <w:noWrap w:val="0"/>
            <w:vAlign w:val="center"/>
          </w:tcPr>
          <w:p>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bl>
    <w:p>
      <w:pPr>
        <w:pStyle w:val="3"/>
        <w:rPr>
          <w:rFonts w:hint="eastAsia"/>
          <w:highlight w:val="none"/>
          <w:lang w:val="en-US" w:eastAsia="zh-CN"/>
        </w:rPr>
      </w:pPr>
    </w:p>
    <w:p>
      <w:pPr>
        <w:rPr>
          <w:rFonts w:hint="eastAsia"/>
          <w:highlight w:val="none"/>
          <w:lang w:val="en-US" w:eastAsia="zh-CN"/>
        </w:rPr>
      </w:pPr>
    </w:p>
    <w:p>
      <w:pPr>
        <w:pStyle w:val="3"/>
        <w:rPr>
          <w:rFonts w:hint="eastAsia"/>
          <w:highlight w:val="none"/>
          <w:lang w:val="en-US" w:eastAsia="zh-CN"/>
        </w:rPr>
      </w:pPr>
    </w:p>
    <w:p>
      <w:pPr>
        <w:rPr>
          <w:rFonts w:hint="eastAsia"/>
          <w:highlight w:val="none"/>
          <w:lang w:val="en-US" w:eastAsia="zh-CN"/>
        </w:rPr>
      </w:pPr>
    </w:p>
    <w:p>
      <w:pPr>
        <w:pStyle w:val="3"/>
        <w:rPr>
          <w:rFonts w:hint="eastAsia"/>
          <w:highlight w:val="none"/>
          <w:lang w:val="en-US" w:eastAsia="zh-CN"/>
        </w:rPr>
      </w:pPr>
    </w:p>
    <w:p>
      <w:pPr>
        <w:rPr>
          <w:rFonts w:hint="eastAsia"/>
          <w:lang w:val="en-US" w:eastAsia="zh-CN"/>
        </w:rPr>
      </w:pPr>
    </w:p>
    <w:p>
      <w:pPr>
        <w:rPr>
          <w:rFonts w:hint="eastAsia"/>
          <w:highlight w:val="none"/>
          <w:lang w:val="en-US" w:eastAsia="zh-CN"/>
        </w:rPr>
      </w:pPr>
    </w:p>
    <w:p>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numPr>
          <w:ilvl w:val="0"/>
          <w:numId w:val="2"/>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pPr>
        <w:pStyle w:val="8"/>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pPr>
        <w:pStyle w:val="8"/>
        <w:ind w:firstLine="482" w:firstLineChars="200"/>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color w:val="auto"/>
          <w:kern w:val="2"/>
          <w:sz w:val="24"/>
          <w:szCs w:val="24"/>
          <w:highlight w:val="none"/>
          <w:u w:val="single"/>
        </w:rPr>
        <w:t>价格分计算时，投标人评标价按（100-投标人填写的下浮数值）参与计算。如：下浮率为1.88％时，评标价按（100-1.88）参与计算。</w:t>
      </w:r>
      <w:r>
        <w:rPr>
          <w:rFonts w:hint="eastAsia" w:ascii="宋体" w:hAnsi="宋体" w:eastAsia="宋体" w:cs="宋体"/>
          <w:color w:val="auto"/>
          <w:kern w:val="2"/>
          <w:sz w:val="24"/>
          <w:szCs w:val="24"/>
          <w:highlight w:val="none"/>
          <w:u w:val="single"/>
          <w:lang w:val="en-US" w:eastAsia="zh-CN" w:bidi="ar-SA"/>
        </w:rPr>
        <w:t xml:space="preserve">                                                  </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8"/>
        <w:ind w:firstLine="480" w:firstLineChars="20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 xml:space="preserve">本工程合同价为暂定价，其中：1.全过程工程项目管理费结算价=审定的初步设计概算的项目法人管理费×80%×（1-投标下浮率）；2.全过程工程项目管理监理费结算价=（审定初步设计概算监理费+ 初设概算监理计费范围以外的监理工作费用）×（1-投标下浮率）±合同内约定且实际发生的相关奖罚费用 。因规模变化需要调整可研、初设、施工图的，结算价按调整后批复的初设概算对应参与阶段的监理费用×（1-投标下浮率）进行结算。        </w:t>
      </w:r>
      <w:r>
        <w:rPr>
          <w:rFonts w:hint="eastAsia" w:ascii="宋体" w:hAnsi="宋体" w:eastAsia="宋体" w:cs="宋体"/>
          <w:color w:val="auto"/>
          <w:kern w:val="2"/>
          <w:sz w:val="24"/>
          <w:szCs w:val="24"/>
          <w:highlight w:val="none"/>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ascii="宋体" w:hAnsi="宋体" w:eastAsia="宋体" w:cs="宋体"/>
          <w:color w:val="auto"/>
          <w:kern w:val="2"/>
          <w:sz w:val="24"/>
          <w:szCs w:val="24"/>
          <w:highlight w:val="none"/>
          <w:u w:val="single"/>
          <w:lang w:val="en-US" w:eastAsia="zh-CN" w:bidi="ar-SA"/>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r>
        <w:rPr>
          <w:rFonts w:hint="eastAsia" w:ascii="宋体" w:hAnsi="宋体" w:eastAsia="宋体" w:cs="宋体"/>
          <w:color w:val="auto"/>
          <w:kern w:val="2"/>
          <w:sz w:val="24"/>
          <w:szCs w:val="24"/>
          <w:highlight w:val="none"/>
          <w:u w:val="single"/>
          <w:lang w:val="en-US" w:eastAsia="zh-CN" w:bidi="ar-SA"/>
        </w:rPr>
        <w:t xml:space="preserve">                                 /                                     </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numPr>
          <w:ilvl w:val="0"/>
          <w:numId w:val="4"/>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numPr>
          <w:ilvl w:val="0"/>
          <w:numId w:val="4"/>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bookmarkStart w:id="8" w:name="_GoBack"/>
      <w:bookmarkEnd w:id="8"/>
    </w:p>
    <w:p>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）工程前期有关文件（可研审批文件）</w:t>
      </w:r>
      <w:r>
        <w:rPr>
          <w:rFonts w:hint="eastAsia" w:asciiTheme="minorEastAsia" w:hAnsiTheme="minorEastAsia" w:eastAsiaTheme="minorEastAsia" w:cstheme="minorEastAsia"/>
          <w:color w:val="auto"/>
          <w:sz w:val="24"/>
          <w:szCs w:val="24"/>
          <w:highlight w:val="none"/>
          <w:lang w:eastAsia="zh-CN"/>
        </w:rPr>
        <w:t>。</w:t>
      </w:r>
    </w:p>
    <w:p>
      <w:pPr>
        <w:spacing w:line="360" w:lineRule="auto"/>
        <w:ind w:firstLine="420" w:firstLineChars="200"/>
        <w:rPr>
          <w:rFonts w:hint="eastAsia"/>
          <w:lang w:val="zh-CN"/>
        </w:rPr>
      </w:pPr>
    </w:p>
    <w:p>
      <w:pPr>
        <w:rPr>
          <w:rFonts w:hint="eastAsia" w:ascii="宋体" w:hAnsi="宋体" w:eastAsia="宋体" w:cs="宋体"/>
          <w:color w:val="auto"/>
          <w:sz w:val="24"/>
          <w:szCs w:val="24"/>
          <w:highlight w:val="none"/>
          <w:u w:val="single"/>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4122DDE1"/>
    <w:multiLevelType w:val="singleLevel"/>
    <w:tmpl w:val="4122DDE1"/>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156579F"/>
    <w:rsid w:val="034C42F7"/>
    <w:rsid w:val="03764F6F"/>
    <w:rsid w:val="03F1316B"/>
    <w:rsid w:val="04915A74"/>
    <w:rsid w:val="04A24F71"/>
    <w:rsid w:val="076F3B3B"/>
    <w:rsid w:val="07CA37DF"/>
    <w:rsid w:val="07CC3833"/>
    <w:rsid w:val="0BC07002"/>
    <w:rsid w:val="0BD30473"/>
    <w:rsid w:val="0CCA5CBA"/>
    <w:rsid w:val="0E2F4C02"/>
    <w:rsid w:val="0E3616E0"/>
    <w:rsid w:val="0E937FF7"/>
    <w:rsid w:val="0EAA3109"/>
    <w:rsid w:val="0F81532F"/>
    <w:rsid w:val="107144D2"/>
    <w:rsid w:val="116419AD"/>
    <w:rsid w:val="11794537"/>
    <w:rsid w:val="11DF6CFE"/>
    <w:rsid w:val="13383335"/>
    <w:rsid w:val="14440D4B"/>
    <w:rsid w:val="14B666F3"/>
    <w:rsid w:val="15056A61"/>
    <w:rsid w:val="164E6403"/>
    <w:rsid w:val="182633AB"/>
    <w:rsid w:val="18E57496"/>
    <w:rsid w:val="19191C06"/>
    <w:rsid w:val="198206D7"/>
    <w:rsid w:val="1A2D5CFF"/>
    <w:rsid w:val="1A386933"/>
    <w:rsid w:val="1A4F176B"/>
    <w:rsid w:val="1A912F72"/>
    <w:rsid w:val="1B5D62DC"/>
    <w:rsid w:val="1B663F82"/>
    <w:rsid w:val="1C2D4629"/>
    <w:rsid w:val="1C43636C"/>
    <w:rsid w:val="1D904223"/>
    <w:rsid w:val="1F653C49"/>
    <w:rsid w:val="1F6C0D31"/>
    <w:rsid w:val="1FF914D4"/>
    <w:rsid w:val="20735046"/>
    <w:rsid w:val="20C76596"/>
    <w:rsid w:val="216F4D5B"/>
    <w:rsid w:val="231B23CF"/>
    <w:rsid w:val="23B738BA"/>
    <w:rsid w:val="24E67795"/>
    <w:rsid w:val="24F737D8"/>
    <w:rsid w:val="25100685"/>
    <w:rsid w:val="26A73075"/>
    <w:rsid w:val="2CA17C08"/>
    <w:rsid w:val="2DDF66E3"/>
    <w:rsid w:val="2DFB3CD4"/>
    <w:rsid w:val="2FF65FF8"/>
    <w:rsid w:val="300D195C"/>
    <w:rsid w:val="30BF37B5"/>
    <w:rsid w:val="31C955A9"/>
    <w:rsid w:val="33B200AF"/>
    <w:rsid w:val="33E61BE2"/>
    <w:rsid w:val="361736AD"/>
    <w:rsid w:val="36D200CF"/>
    <w:rsid w:val="379951F8"/>
    <w:rsid w:val="38382DC3"/>
    <w:rsid w:val="38DE045C"/>
    <w:rsid w:val="3A546240"/>
    <w:rsid w:val="3BF24D81"/>
    <w:rsid w:val="3BFE7BEA"/>
    <w:rsid w:val="3C4750A3"/>
    <w:rsid w:val="3C4A35F1"/>
    <w:rsid w:val="3E1675C3"/>
    <w:rsid w:val="3E664B6D"/>
    <w:rsid w:val="3ED7087B"/>
    <w:rsid w:val="3F141BFC"/>
    <w:rsid w:val="41153851"/>
    <w:rsid w:val="41945448"/>
    <w:rsid w:val="444D481C"/>
    <w:rsid w:val="44982260"/>
    <w:rsid w:val="44D414C9"/>
    <w:rsid w:val="46472D5E"/>
    <w:rsid w:val="4748324D"/>
    <w:rsid w:val="496A657E"/>
    <w:rsid w:val="49843C09"/>
    <w:rsid w:val="4B074E64"/>
    <w:rsid w:val="4B3A1BDA"/>
    <w:rsid w:val="4BF83760"/>
    <w:rsid w:val="4C8349B8"/>
    <w:rsid w:val="4CA81C18"/>
    <w:rsid w:val="520D6E5F"/>
    <w:rsid w:val="53115540"/>
    <w:rsid w:val="55C3156A"/>
    <w:rsid w:val="5782183A"/>
    <w:rsid w:val="57BD355E"/>
    <w:rsid w:val="58A106A5"/>
    <w:rsid w:val="59700EA3"/>
    <w:rsid w:val="59A5419F"/>
    <w:rsid w:val="5B0320E2"/>
    <w:rsid w:val="5B8B11A7"/>
    <w:rsid w:val="5B9E2EC4"/>
    <w:rsid w:val="5C871820"/>
    <w:rsid w:val="5F3D36D4"/>
    <w:rsid w:val="608606DE"/>
    <w:rsid w:val="610E324A"/>
    <w:rsid w:val="61F31EFD"/>
    <w:rsid w:val="63066BC7"/>
    <w:rsid w:val="63D0487B"/>
    <w:rsid w:val="64672037"/>
    <w:rsid w:val="64911DA0"/>
    <w:rsid w:val="65945D8D"/>
    <w:rsid w:val="66C35559"/>
    <w:rsid w:val="67D57489"/>
    <w:rsid w:val="68570F93"/>
    <w:rsid w:val="6A287B5E"/>
    <w:rsid w:val="6B303A1A"/>
    <w:rsid w:val="6DAA2FDF"/>
    <w:rsid w:val="6E121228"/>
    <w:rsid w:val="6EBF31DC"/>
    <w:rsid w:val="6FC971BF"/>
    <w:rsid w:val="70D1495F"/>
    <w:rsid w:val="70ED510D"/>
    <w:rsid w:val="74661749"/>
    <w:rsid w:val="74695E39"/>
    <w:rsid w:val="754C6F3B"/>
    <w:rsid w:val="75B11AFF"/>
    <w:rsid w:val="75D32619"/>
    <w:rsid w:val="765369C1"/>
    <w:rsid w:val="767D6887"/>
    <w:rsid w:val="780B6A75"/>
    <w:rsid w:val="79F83E18"/>
    <w:rsid w:val="7A262145"/>
    <w:rsid w:val="7BEC3F2B"/>
    <w:rsid w:val="7D0F76D8"/>
    <w:rsid w:val="7E3412BE"/>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2008</Words>
  <Characters>2102</Characters>
  <Lines>0</Lines>
  <Paragraphs>0</Paragraphs>
  <TotalTime>9</TotalTime>
  <ScaleCrop>false</ScaleCrop>
  <LinksUpToDate>false</LinksUpToDate>
  <CharactersWithSpaces>2470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2025-12-24T07:50:42Z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8A8C54658E2D41C7A1BB357F29FDF6BB</vt:lpwstr>
  </property>
  <property fmtid="{D5CDD505-2E9C-101B-9397-08002B2CF9AE}" pid="4" name="KSOTemplateDocerSaveRecord">
    <vt:lpwstr>eyJoZGlkIjoiNmM4NWJkYmJlNTY1M2M0NjdlYTNhZTMxZmI4ZDk4NDUiLCJ1c2VySWQiOiIxNjc0NzA0NjQyIn0=</vt:lpwstr>
  </property>
</Properties>
</file>